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BB48" w14:textId="284C2197" w:rsidR="00B844A3" w:rsidRDefault="003B3819" w:rsidP="00D30C9D">
      <w:pPr>
        <w:pStyle w:val="Title"/>
      </w:pPr>
      <w:r>
        <w:t>Sub</w:t>
      </w:r>
      <w:r w:rsidR="0096019D">
        <w:t>c</w:t>
      </w:r>
      <w:r>
        <w:t>ontracting Policy and Strategy</w:t>
      </w:r>
    </w:p>
    <w:p w14:paraId="0C21CAC6" w14:textId="0BB1700E" w:rsidR="0096019D" w:rsidRDefault="0096019D">
      <w:r>
        <w:t xml:space="preserve">The policy applies to all subcontracted activity funded through the Education and Skills Funding Agency (ESFA) study programme. </w:t>
      </w:r>
    </w:p>
    <w:p w14:paraId="7ED2B5D2" w14:textId="0FA9335D" w:rsidR="00D562E1" w:rsidRDefault="00523405">
      <w:r>
        <w:t>R</w:t>
      </w:r>
      <w:r w:rsidR="00D562E1">
        <w:t xml:space="preserve">eynolds </w:t>
      </w:r>
      <w:r>
        <w:t>T</w:t>
      </w:r>
      <w:r w:rsidR="00D562E1">
        <w:t xml:space="preserve">raining </w:t>
      </w:r>
      <w:r>
        <w:t>A</w:t>
      </w:r>
      <w:r w:rsidR="00D562E1">
        <w:t>cademy (RTA)</w:t>
      </w:r>
      <w:r w:rsidR="003B3819">
        <w:t xml:space="preserve"> </w:t>
      </w:r>
      <w:r w:rsidR="008176DC">
        <w:t>is</w:t>
      </w:r>
      <w:r w:rsidR="003B3819">
        <w:t xml:space="preserve"> committed to providing high quality training.  As a training organisation we aim to deliver the majority of our delivery </w:t>
      </w:r>
      <w:r w:rsidR="00B25226">
        <w:t>directly and</w:t>
      </w:r>
      <w:r w:rsidR="003B3819">
        <w:t xml:space="preserve"> will only sub</w:t>
      </w:r>
      <w:r w:rsidR="005E1379">
        <w:t>c</w:t>
      </w:r>
      <w:r w:rsidR="003B3819">
        <w:t xml:space="preserve">ontract provision where there is a genuine reason why we should do so. Where we do </w:t>
      </w:r>
      <w:r w:rsidR="005E1379">
        <w:t>subc</w:t>
      </w:r>
      <w:r w:rsidR="003B3819">
        <w:t>ontract provision</w:t>
      </w:r>
      <w:r w:rsidR="0096019D">
        <w:t>,</w:t>
      </w:r>
      <w:r w:rsidR="003B3819">
        <w:t xml:space="preserve"> we will ensure that the provision is of the </w:t>
      </w:r>
      <w:r w:rsidR="0096019D">
        <w:t xml:space="preserve">same </w:t>
      </w:r>
      <w:r w:rsidR="003B3819">
        <w:t xml:space="preserve">standard we would expect from our own </w:t>
      </w:r>
      <w:r w:rsidR="0096019D">
        <w:t>provision and</w:t>
      </w:r>
      <w:r w:rsidR="003B3819">
        <w:t xml:space="preserve"> will manage the provision using the same metrics as our direct delivery.</w:t>
      </w:r>
    </w:p>
    <w:p w14:paraId="2BC1D739" w14:textId="2AD2B627" w:rsidR="003B3819" w:rsidRDefault="003B3819" w:rsidP="00523405">
      <w:pPr>
        <w:pStyle w:val="Heading2"/>
      </w:pPr>
      <w:r>
        <w:t>Rationale for Sub</w:t>
      </w:r>
      <w:r w:rsidR="0096019D">
        <w:t>c</w:t>
      </w:r>
      <w:r>
        <w:t>ontracting</w:t>
      </w:r>
    </w:p>
    <w:p w14:paraId="466A823E" w14:textId="7B4421E0" w:rsidR="003B3819" w:rsidRDefault="003B3819">
      <w:r>
        <w:t xml:space="preserve">To agree a sub-contract one or more of the following conditions must be </w:t>
      </w:r>
      <w:r w:rsidR="00F0211A">
        <w:t>met: -</w:t>
      </w:r>
    </w:p>
    <w:p w14:paraId="7F136ADF" w14:textId="6875CBB7" w:rsidR="003B3819" w:rsidRDefault="003B3819" w:rsidP="003B3819">
      <w:pPr>
        <w:pStyle w:val="ListParagraph"/>
        <w:numPr>
          <w:ilvl w:val="0"/>
          <w:numId w:val="1"/>
        </w:numPr>
      </w:pPr>
      <w:r>
        <w:t xml:space="preserve">The subcontractor can access learners that </w:t>
      </w:r>
      <w:r w:rsidR="00523405">
        <w:t>RTA</w:t>
      </w:r>
      <w:r>
        <w:t xml:space="preserve"> would not be able to </w:t>
      </w:r>
      <w:r w:rsidR="0096019D">
        <w:t xml:space="preserve">otherwise </w:t>
      </w:r>
      <w:r>
        <w:t>engage with</w:t>
      </w:r>
    </w:p>
    <w:p w14:paraId="110660B6" w14:textId="6D7BBB89" w:rsidR="003B3819" w:rsidRDefault="003B3819" w:rsidP="003B3819">
      <w:pPr>
        <w:pStyle w:val="ListParagraph"/>
        <w:numPr>
          <w:ilvl w:val="0"/>
          <w:numId w:val="1"/>
        </w:numPr>
      </w:pPr>
      <w:r>
        <w:t>Learners from sub</w:t>
      </w:r>
      <w:r w:rsidR="00B25226">
        <w:t>c</w:t>
      </w:r>
      <w:r>
        <w:t xml:space="preserve">ontracted provision could progress to learning programmes delivered by </w:t>
      </w:r>
      <w:r w:rsidR="00523405">
        <w:t>RTA</w:t>
      </w:r>
      <w:r>
        <w:t xml:space="preserve"> or </w:t>
      </w:r>
      <w:r w:rsidR="00F0211A">
        <w:t>vice versa.</w:t>
      </w:r>
    </w:p>
    <w:p w14:paraId="3CB8ED26" w14:textId="664AB302" w:rsidR="003B3819" w:rsidRDefault="003B3819" w:rsidP="003B3819">
      <w:pPr>
        <w:pStyle w:val="ListParagraph"/>
        <w:numPr>
          <w:ilvl w:val="0"/>
          <w:numId w:val="1"/>
        </w:numPr>
      </w:pPr>
      <w:r>
        <w:t>The sub</w:t>
      </w:r>
      <w:r w:rsidR="00B25226">
        <w:t>c</w:t>
      </w:r>
      <w:r>
        <w:t xml:space="preserve">ontracted provision helps to grow </w:t>
      </w:r>
      <w:r w:rsidR="00523405">
        <w:t>RTA</w:t>
      </w:r>
      <w:r>
        <w:t xml:space="preserve">’s presence and market share in a key occupational area </w:t>
      </w:r>
      <w:r w:rsidR="00523405">
        <w:t xml:space="preserve">or </w:t>
      </w:r>
      <w:r>
        <w:t xml:space="preserve">within our geographical </w:t>
      </w:r>
      <w:r w:rsidR="00F0211A">
        <w:t>reach.</w:t>
      </w:r>
    </w:p>
    <w:p w14:paraId="1D6EAC24" w14:textId="77777777" w:rsidR="003B3819" w:rsidRDefault="00523405" w:rsidP="003B3819">
      <w:r>
        <w:t>RTA</w:t>
      </w:r>
      <w:r w:rsidR="003B3819">
        <w:t xml:space="preserve"> will not sub-contract </w:t>
      </w:r>
    </w:p>
    <w:p w14:paraId="39CE92AE" w14:textId="2B8B89C9" w:rsidR="003B3819" w:rsidRDefault="003B3819" w:rsidP="003B3819">
      <w:pPr>
        <w:pStyle w:val="ListParagraph"/>
        <w:numPr>
          <w:ilvl w:val="0"/>
          <w:numId w:val="1"/>
        </w:numPr>
      </w:pPr>
      <w:r>
        <w:t>In</w:t>
      </w:r>
      <w:r w:rsidR="00B25226">
        <w:t>t</w:t>
      </w:r>
      <w:r>
        <w:t xml:space="preserve">o occupational sectors that we do not, or intend to, deliver into </w:t>
      </w:r>
      <w:r w:rsidR="00F0211A">
        <w:t>directly.</w:t>
      </w:r>
    </w:p>
    <w:p w14:paraId="44DE007E" w14:textId="77777777" w:rsidR="00523405" w:rsidRDefault="00523405" w:rsidP="003B3819">
      <w:pPr>
        <w:pStyle w:val="ListParagraph"/>
        <w:numPr>
          <w:ilvl w:val="0"/>
          <w:numId w:val="1"/>
        </w:numPr>
      </w:pPr>
      <w:r>
        <w:t>Where quality standards do not meet our own expectations</w:t>
      </w:r>
    </w:p>
    <w:p w14:paraId="13C5AF1A" w14:textId="73A559F4" w:rsidR="003B3819" w:rsidRDefault="001B2499" w:rsidP="00523405">
      <w:pPr>
        <w:pStyle w:val="Heading2"/>
      </w:pPr>
      <w:r>
        <w:t>Due Diligence</w:t>
      </w:r>
    </w:p>
    <w:p w14:paraId="21DB3D4E" w14:textId="305C26F3" w:rsidR="008176DC" w:rsidRDefault="00523405" w:rsidP="003B3819">
      <w:r>
        <w:t>RTA</w:t>
      </w:r>
      <w:r w:rsidR="008176DC">
        <w:t xml:space="preserve"> will require any </w:t>
      </w:r>
      <w:r w:rsidR="001B2499">
        <w:t xml:space="preserve">potential </w:t>
      </w:r>
      <w:r w:rsidR="007437CB">
        <w:t>s</w:t>
      </w:r>
      <w:r w:rsidR="008176DC">
        <w:t>ub</w:t>
      </w:r>
      <w:r w:rsidR="00970768">
        <w:t>c</w:t>
      </w:r>
      <w:r w:rsidR="008176DC">
        <w:t>ontractor to undertake a full due diligence</w:t>
      </w:r>
      <w:r w:rsidR="001B2499">
        <w:t>. As part of the due diligence process, evidence of suitability for the following will be required:</w:t>
      </w:r>
    </w:p>
    <w:p w14:paraId="72CBB066" w14:textId="77777777" w:rsidR="008176DC" w:rsidRDefault="008176DC" w:rsidP="008176DC">
      <w:pPr>
        <w:pStyle w:val="ListParagraph"/>
        <w:numPr>
          <w:ilvl w:val="0"/>
          <w:numId w:val="1"/>
        </w:numPr>
      </w:pPr>
      <w:r>
        <w:t>Health and Safety</w:t>
      </w:r>
    </w:p>
    <w:p w14:paraId="0B3B3BCF" w14:textId="57393DCA" w:rsidR="00523405" w:rsidRDefault="007437CB" w:rsidP="008176DC">
      <w:pPr>
        <w:pStyle w:val="ListParagraph"/>
        <w:numPr>
          <w:ilvl w:val="0"/>
          <w:numId w:val="1"/>
        </w:numPr>
      </w:pPr>
      <w:r>
        <w:t xml:space="preserve">Assessment </w:t>
      </w:r>
      <w:r w:rsidR="00523405">
        <w:t xml:space="preserve">of </w:t>
      </w:r>
      <w:r>
        <w:t xml:space="preserve">the </w:t>
      </w:r>
      <w:r w:rsidR="00523405">
        <w:t>facilities</w:t>
      </w:r>
    </w:p>
    <w:p w14:paraId="7A722653" w14:textId="65A3C7EA" w:rsidR="008176DC" w:rsidRDefault="008176DC" w:rsidP="008176DC">
      <w:pPr>
        <w:pStyle w:val="ListParagraph"/>
        <w:numPr>
          <w:ilvl w:val="0"/>
          <w:numId w:val="1"/>
        </w:numPr>
      </w:pPr>
      <w:r>
        <w:t>Previous performance</w:t>
      </w:r>
      <w:r w:rsidR="007437CB">
        <w:t xml:space="preserve">, including achievement and retention rates. </w:t>
      </w:r>
    </w:p>
    <w:p w14:paraId="08352BDA" w14:textId="77777777" w:rsidR="008176DC" w:rsidRDefault="008176DC" w:rsidP="008176DC">
      <w:pPr>
        <w:pStyle w:val="ListParagraph"/>
        <w:numPr>
          <w:ilvl w:val="0"/>
          <w:numId w:val="1"/>
        </w:numPr>
      </w:pPr>
      <w:r>
        <w:t>Staffing and qualifications</w:t>
      </w:r>
    </w:p>
    <w:p w14:paraId="3443A9AE" w14:textId="4122E343" w:rsidR="007437CB" w:rsidRDefault="007437CB" w:rsidP="008176DC">
      <w:pPr>
        <w:pStyle w:val="ListParagraph"/>
        <w:numPr>
          <w:ilvl w:val="0"/>
          <w:numId w:val="1"/>
        </w:numPr>
      </w:pPr>
      <w:r>
        <w:t xml:space="preserve">Financial stability </w:t>
      </w:r>
    </w:p>
    <w:p w14:paraId="7ADFFAAC" w14:textId="75F1523E" w:rsidR="008176DC" w:rsidRDefault="008176DC" w:rsidP="008176DC">
      <w:pPr>
        <w:pStyle w:val="ListParagraph"/>
        <w:numPr>
          <w:ilvl w:val="0"/>
          <w:numId w:val="1"/>
        </w:numPr>
      </w:pPr>
      <w:r>
        <w:t xml:space="preserve">SAR </w:t>
      </w:r>
      <w:r w:rsidR="007437CB">
        <w:t>and</w:t>
      </w:r>
      <w:r>
        <w:t xml:space="preserve"> QIP reports </w:t>
      </w:r>
    </w:p>
    <w:p w14:paraId="4353C0C4" w14:textId="443A56D0" w:rsidR="007437CB" w:rsidRDefault="007437CB" w:rsidP="008176DC">
      <w:pPr>
        <w:pStyle w:val="ListParagraph"/>
        <w:numPr>
          <w:ilvl w:val="0"/>
          <w:numId w:val="1"/>
        </w:numPr>
      </w:pPr>
      <w:r>
        <w:t xml:space="preserve">IQA and EQA report </w:t>
      </w:r>
    </w:p>
    <w:p w14:paraId="7DA08653" w14:textId="77777777" w:rsidR="008176DC" w:rsidRDefault="008176DC" w:rsidP="00523405">
      <w:pPr>
        <w:pStyle w:val="Heading2"/>
      </w:pPr>
      <w:r>
        <w:t>Performance</w:t>
      </w:r>
    </w:p>
    <w:p w14:paraId="124E2972" w14:textId="382060D7" w:rsidR="008176DC" w:rsidRDefault="008176DC" w:rsidP="008176DC">
      <w:pPr>
        <w:pStyle w:val="ListParagraph"/>
        <w:numPr>
          <w:ilvl w:val="0"/>
          <w:numId w:val="2"/>
        </w:numPr>
      </w:pPr>
      <w:r>
        <w:t xml:space="preserve">Learner Attendance – </w:t>
      </w:r>
      <w:r w:rsidR="001B6DD7">
        <w:t xml:space="preserve">minimum expectation of 95% attendance, across all classes. </w:t>
      </w:r>
    </w:p>
    <w:p w14:paraId="5B98C7AA" w14:textId="77E7B04B" w:rsidR="008176DC" w:rsidRDefault="008176DC" w:rsidP="008176DC">
      <w:pPr>
        <w:pStyle w:val="ListParagraph"/>
        <w:numPr>
          <w:ilvl w:val="0"/>
          <w:numId w:val="2"/>
        </w:numPr>
      </w:pPr>
      <w:r>
        <w:t xml:space="preserve">OTLA – all classes </w:t>
      </w:r>
      <w:r w:rsidR="00EC4DB3">
        <w:t xml:space="preserve">are expected to be a minimum </w:t>
      </w:r>
      <w:r w:rsidR="00AC621A">
        <w:t xml:space="preserve">‘good’ standard. </w:t>
      </w:r>
    </w:p>
    <w:p w14:paraId="0F30A904" w14:textId="459E9E2A" w:rsidR="008176DC" w:rsidRDefault="00EC4DB3" w:rsidP="008176DC">
      <w:pPr>
        <w:pStyle w:val="ListParagraph"/>
        <w:numPr>
          <w:ilvl w:val="0"/>
          <w:numId w:val="2"/>
        </w:numPr>
      </w:pPr>
      <w:r>
        <w:t>Achievement</w:t>
      </w:r>
      <w:r w:rsidR="008176DC">
        <w:t xml:space="preserve"> Rates – above 80% </w:t>
      </w:r>
      <w:r>
        <w:t>for all</w:t>
      </w:r>
      <w:r w:rsidR="008176DC">
        <w:t xml:space="preserve"> programme</w:t>
      </w:r>
      <w:r>
        <w:t>s</w:t>
      </w:r>
    </w:p>
    <w:p w14:paraId="58D0B347" w14:textId="77777777" w:rsidR="008176DC" w:rsidRDefault="008176DC" w:rsidP="00523405">
      <w:pPr>
        <w:pStyle w:val="Heading2"/>
      </w:pPr>
      <w:r>
        <w:t>Management fees</w:t>
      </w:r>
    </w:p>
    <w:p w14:paraId="597A86CE" w14:textId="402622B6" w:rsidR="00523405" w:rsidRDefault="00523405">
      <w:r>
        <w:t>RTA has a standard management fee of 3</w:t>
      </w:r>
      <w:r w:rsidR="008176DC">
        <w:t>0%. This can be increased or decreased depending on the level of support our due diligence process indicated is necessary</w:t>
      </w:r>
      <w:r>
        <w:t>, or the range of services provide</w:t>
      </w:r>
      <w:r w:rsidR="00AC621A">
        <w:t xml:space="preserve">d by RTA, including </w:t>
      </w:r>
      <w:r>
        <w:t>English and Maths</w:t>
      </w:r>
      <w:r w:rsidR="008176DC">
        <w:t>.</w:t>
      </w:r>
    </w:p>
    <w:p w14:paraId="4C9268C6" w14:textId="77777777" w:rsidR="00523405" w:rsidRDefault="00523405"/>
    <w:p w14:paraId="27CA48E6" w14:textId="2100DE4B" w:rsidR="00523405" w:rsidRDefault="00523405" w:rsidP="00523405">
      <w:pPr>
        <w:pStyle w:val="Heading1"/>
      </w:pPr>
      <w:r>
        <w:t>Sub</w:t>
      </w:r>
      <w:r w:rsidR="0096019D">
        <w:t>c</w:t>
      </w:r>
      <w:r>
        <w:t>ontractor Management</w:t>
      </w:r>
    </w:p>
    <w:p w14:paraId="165B78A6" w14:textId="59685D17" w:rsidR="00523405" w:rsidRDefault="00523405" w:rsidP="00523405">
      <w:r>
        <w:t xml:space="preserve">We will expect all RTA materials </w:t>
      </w:r>
      <w:r w:rsidR="00A6249F">
        <w:t xml:space="preserve"> and </w:t>
      </w:r>
      <w:r>
        <w:t>policies to be clearly displayed at each subcontractor site.</w:t>
      </w:r>
      <w:r w:rsidRPr="00523405">
        <w:t xml:space="preserve"> </w:t>
      </w:r>
    </w:p>
    <w:p w14:paraId="4E302AA8" w14:textId="3FDE5FB8" w:rsidR="00523405" w:rsidRDefault="00523405" w:rsidP="00523405">
      <w:r>
        <w:t>Staff delivering programmes under subcontract arrangements will be expected to have the same level of qualifications and perform to the same standards as we would expect RTA employees.</w:t>
      </w:r>
    </w:p>
    <w:p w14:paraId="75E685E6" w14:textId="048CEFC9" w:rsidR="00AA7060" w:rsidRDefault="00AA7060" w:rsidP="00523405">
      <w:r>
        <w:t xml:space="preserve">All staff will be expected to undertake CPD hours, in line with staff employed by RTA. </w:t>
      </w:r>
    </w:p>
    <w:p w14:paraId="6611608B" w14:textId="60F7D8F5" w:rsidR="008E233C" w:rsidRDefault="008E233C">
      <w:r>
        <w:t>We will ensure that IAG delivered to subcontracted learners is robust and learners understand the realistic potential outcomes from their learning programmes.</w:t>
      </w:r>
    </w:p>
    <w:p w14:paraId="43B1A377" w14:textId="00DEFB0E" w:rsidR="00523405" w:rsidRDefault="00523405">
      <w:r>
        <w:t xml:space="preserve">Monthly reviews will be undertaken to ensure that the provision is high quality.  We will monitor all aspects of provision, in </w:t>
      </w:r>
      <w:r w:rsidR="00355E1C">
        <w:t>particular: -</w:t>
      </w:r>
      <w:r>
        <w:t xml:space="preserve"> </w:t>
      </w:r>
    </w:p>
    <w:p w14:paraId="10D8E673" w14:textId="77777777" w:rsidR="00523405" w:rsidRDefault="00523405" w:rsidP="00523405">
      <w:pPr>
        <w:pStyle w:val="ListParagraph"/>
        <w:numPr>
          <w:ilvl w:val="0"/>
          <w:numId w:val="2"/>
        </w:numPr>
      </w:pPr>
      <w:r>
        <w:t>Learner attendance and progress</w:t>
      </w:r>
    </w:p>
    <w:p w14:paraId="6C0D7190" w14:textId="37F1BE4B" w:rsidR="00523405" w:rsidRDefault="00523405" w:rsidP="00523405">
      <w:pPr>
        <w:pStyle w:val="ListParagraph"/>
        <w:numPr>
          <w:ilvl w:val="0"/>
          <w:numId w:val="2"/>
        </w:numPr>
      </w:pPr>
      <w:r>
        <w:t>Quality of Teaching and Learning (through OTLA</w:t>
      </w:r>
      <w:r w:rsidR="0083041D">
        <w:t xml:space="preserve"> and lesson visits</w:t>
      </w:r>
      <w:r>
        <w:t>)</w:t>
      </w:r>
    </w:p>
    <w:p w14:paraId="5ACA8C75" w14:textId="479336DC" w:rsidR="00523405" w:rsidRDefault="0083041D" w:rsidP="00523405">
      <w:pPr>
        <w:pStyle w:val="ListParagraph"/>
        <w:numPr>
          <w:ilvl w:val="0"/>
          <w:numId w:val="2"/>
        </w:numPr>
      </w:pPr>
      <w:r>
        <w:t xml:space="preserve">Learner retention and withdrawals. </w:t>
      </w:r>
    </w:p>
    <w:p w14:paraId="277B5B1E" w14:textId="77777777" w:rsidR="00523405" w:rsidRDefault="00523405" w:rsidP="00523405">
      <w:pPr>
        <w:pStyle w:val="ListParagraph"/>
        <w:numPr>
          <w:ilvl w:val="0"/>
          <w:numId w:val="2"/>
        </w:numPr>
      </w:pPr>
      <w:r>
        <w:t>Funding rules compliance</w:t>
      </w:r>
    </w:p>
    <w:p w14:paraId="426355FB" w14:textId="77777777" w:rsidR="00523405" w:rsidRDefault="00523405"/>
    <w:p w14:paraId="77E64DFB" w14:textId="77777777" w:rsidR="00523405" w:rsidRDefault="00523405"/>
    <w:p w14:paraId="594A812E" w14:textId="77777777" w:rsidR="00523405" w:rsidRDefault="00523405"/>
    <w:sectPr w:rsidR="005234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C6BC" w14:textId="77777777" w:rsidR="00AF5A56" w:rsidRDefault="00AF5A56" w:rsidP="00D30C9D">
      <w:pPr>
        <w:spacing w:after="0" w:line="240" w:lineRule="auto"/>
      </w:pPr>
      <w:r>
        <w:separator/>
      </w:r>
    </w:p>
  </w:endnote>
  <w:endnote w:type="continuationSeparator" w:id="0">
    <w:p w14:paraId="2F520B5A" w14:textId="77777777" w:rsidR="00AF5A56" w:rsidRDefault="00AF5A56" w:rsidP="00D3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44A9" w14:textId="77777777" w:rsidR="00AF5A56" w:rsidRDefault="00AF5A56" w:rsidP="00D30C9D">
      <w:pPr>
        <w:spacing w:after="0" w:line="240" w:lineRule="auto"/>
      </w:pPr>
      <w:r>
        <w:separator/>
      </w:r>
    </w:p>
  </w:footnote>
  <w:footnote w:type="continuationSeparator" w:id="0">
    <w:p w14:paraId="5D37F648" w14:textId="77777777" w:rsidR="00AF5A56" w:rsidRDefault="00AF5A56" w:rsidP="00D3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38DA" w14:textId="77777777" w:rsidR="00D30C9D" w:rsidRPr="00D30C9D" w:rsidRDefault="00523405" w:rsidP="00D30C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72119DC" wp14:editId="1BE9CB6A">
          <wp:simplePos x="0" y="0"/>
          <wp:positionH relativeFrom="column">
            <wp:posOffset>4665980</wp:posOffset>
          </wp:positionH>
          <wp:positionV relativeFrom="paragraph">
            <wp:posOffset>-321310</wp:posOffset>
          </wp:positionV>
          <wp:extent cx="1529080" cy="5143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ynol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CD0"/>
    <w:multiLevelType w:val="hybridMultilevel"/>
    <w:tmpl w:val="F02EB106"/>
    <w:lvl w:ilvl="0" w:tplc="49824F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02905"/>
    <w:multiLevelType w:val="hybridMultilevel"/>
    <w:tmpl w:val="AA948EBE"/>
    <w:lvl w:ilvl="0" w:tplc="49824F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13475">
    <w:abstractNumId w:val="0"/>
  </w:num>
  <w:num w:numId="2" w16cid:durableId="14944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19"/>
    <w:rsid w:val="001B2499"/>
    <w:rsid w:val="001B6DD7"/>
    <w:rsid w:val="00355E1C"/>
    <w:rsid w:val="003B3819"/>
    <w:rsid w:val="005131AB"/>
    <w:rsid w:val="00523405"/>
    <w:rsid w:val="005E1379"/>
    <w:rsid w:val="007437CB"/>
    <w:rsid w:val="007E05B3"/>
    <w:rsid w:val="008176DC"/>
    <w:rsid w:val="0083041D"/>
    <w:rsid w:val="008652F4"/>
    <w:rsid w:val="008E233C"/>
    <w:rsid w:val="0096019D"/>
    <w:rsid w:val="00970768"/>
    <w:rsid w:val="00A6249F"/>
    <w:rsid w:val="00AA7060"/>
    <w:rsid w:val="00AB26E1"/>
    <w:rsid w:val="00AC621A"/>
    <w:rsid w:val="00AF5A56"/>
    <w:rsid w:val="00B25226"/>
    <w:rsid w:val="00B844A3"/>
    <w:rsid w:val="00D30C9D"/>
    <w:rsid w:val="00D562E1"/>
    <w:rsid w:val="00D90FE4"/>
    <w:rsid w:val="00DC23AC"/>
    <w:rsid w:val="00E74B58"/>
    <w:rsid w:val="00EC4DB3"/>
    <w:rsid w:val="00F0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0B8E3"/>
  <w15:docId w15:val="{115474AF-5D70-4772-93BB-3E261D1C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81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0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0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30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9D"/>
  </w:style>
  <w:style w:type="paragraph" w:styleId="Footer">
    <w:name w:val="footer"/>
    <w:basedOn w:val="Normal"/>
    <w:link w:val="FooterChar"/>
    <w:uiPriority w:val="99"/>
    <w:unhideWhenUsed/>
    <w:rsid w:val="00D30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9D"/>
  </w:style>
  <w:style w:type="paragraph" w:styleId="BalloonText">
    <w:name w:val="Balloon Text"/>
    <w:basedOn w:val="Normal"/>
    <w:link w:val="BalloonTextChar"/>
    <w:uiPriority w:val="99"/>
    <w:semiHidden/>
    <w:unhideWhenUsed/>
    <w:rsid w:val="00D3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0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3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Gemma Walker</cp:lastModifiedBy>
  <cp:revision>10</cp:revision>
  <dcterms:created xsi:type="dcterms:W3CDTF">2024-11-28T13:10:00Z</dcterms:created>
  <dcterms:modified xsi:type="dcterms:W3CDTF">2024-11-28T15:11:00Z</dcterms:modified>
</cp:coreProperties>
</file>